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3AC" w:rsidRPr="00647B26" w:rsidRDefault="00AA63AC" w:rsidP="00647B26">
      <w:pPr>
        <w:jc w:val="center"/>
        <w:rPr>
          <w:rFonts w:ascii="Liberation Serif" w:hAnsi="Liberation Serif" w:cs="Helvetica"/>
          <w:b/>
          <w:color w:val="000000"/>
          <w:sz w:val="24"/>
          <w:szCs w:val="24"/>
        </w:rPr>
      </w:pPr>
      <w:r w:rsidRPr="00647B26">
        <w:rPr>
          <w:rFonts w:ascii="Liberation Serif" w:hAnsi="Liberation Serif" w:cs="Helvetica"/>
          <w:b/>
          <w:color w:val="000000"/>
          <w:sz w:val="24"/>
          <w:szCs w:val="24"/>
        </w:rPr>
        <w:t>Национальный план противодействия коррупции на 2021-2024 годы</w:t>
      </w:r>
    </w:p>
    <w:p w:rsidR="00647B26" w:rsidRDefault="00AA63AC" w:rsidP="00647B26">
      <w:pPr>
        <w:spacing w:after="0"/>
        <w:ind w:firstLine="709"/>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16 августа 2021 в России принят Национальный план противодействия коррупции на 2021-2024 годы.  В России опубликован Национальный план противодействия коррупции на 2021-2024 годы (далее – Нацплан). Утвержденный Указом Президента Российской Федерации от 16 августа 2021 года № 478, он впервые охватывает такой длительный период – ранее подобные стратегические документы принимались сроком на 1-2 года, предыдущий Национальный план противодействия коррупции действовал 3 года, с 2018 по 2020 гг. </w:t>
      </w:r>
      <w:r w:rsidR="00647B26">
        <w:rPr>
          <w:rFonts w:ascii="Liberation Serif" w:hAnsi="Liberation Serif" w:cs="Helvetica"/>
          <w:color w:val="000000"/>
          <w:sz w:val="24"/>
          <w:szCs w:val="24"/>
        </w:rPr>
        <w:tab/>
      </w:r>
    </w:p>
    <w:p w:rsidR="00AA63AC" w:rsidRPr="00647B26" w:rsidRDefault="00AA63AC" w:rsidP="00647B26">
      <w:pPr>
        <w:spacing w:after="0"/>
        <w:ind w:firstLine="709"/>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Новый Нацплан содержит перечень мероприятий по предупреждению и противодействию коррупции, минимизации и ликвидации ее последствий, распределенных по 16 направлениям. При этом многие  поручения направлены на восполнение существующих правовых пробелов, выявленных в ходе правоприменительной практики предшествующих лет: часть из них касается конкретных механизмов, предусматривая, например, увеличение источников информации и предоставление доступа к ним в целях увеличения эффективности антикоррупционных проверок, часть связана с более концептуальными сюжетами, такими, как пересмотр норм о регулировании конфликта интересов и систематизация антикоррупционного законодательства. Вместе с тем, отдельные вопросы, требующие совершенствования соответствующей нормативной правовой базы, не вошли в Нацплан: в частности, осталась за рамками обсуждения тема распространения антикоррупционных стандартов на отдельные организации с государственным участием. </w:t>
      </w:r>
    </w:p>
    <w:p w:rsidR="00AA63AC"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Антикоррупционные стандарты </w:t>
      </w:r>
    </w:p>
    <w:p w:rsidR="00AA63AC"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Первое направление Нацплана предусматривает принятие мер по совершенствованию системы антикоррупционных запретов, ограничений и обязанностей. Часть поручений при этом предполагает подготовку предложений о правовом регулировании конкретных стандартов, таких как: ограничения на совмещение должности главы муниципального образования на непостоянной основе с должностью в органе местного самоуправления или должностью руководителя муниципального учреждения, обязанность представлять сведения о доходах, расходах, об имуществе и обязательствах имущественного характера (далее – сведения о доходах, расходах) лиц, замещающих государственные должности, обязанность представлять сведения о доходах, расходах кандидата на должность атамана Всероссийского казачьего общества и иных. Другая часть запланированных мероприятий связана с проведением анализа действующих норм законодательства и правоприменительной практики по более широким направлениям, например, касающихся ограничений на получение подарков, создания и использования каналов информирования о коррупционных нарушениях, защиты лиц, сообщающих о коррупции. Кроме того, в рамках данного направления запланирована подготовка методических рекомендаций по темам соблюдения запретов на занятие предпринимательской деятельностью и участие в управлении организациями и разработки планов противодействия коррупции в государственных органах, а также обзора правоприменительной практики защиты заявителей о коррупции.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Конфликт интересов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Второе направление, предусмотренное Нацпланом, предполагает, прежде всего, проведение обобщенного анализ использования института «конфликта интересов» в целях противодействия коррупции, а также механизма передачи ценных бумаг в доверительное </w:t>
      </w:r>
      <w:r w:rsidRPr="00647B26">
        <w:rPr>
          <w:rFonts w:ascii="Liberation Serif" w:hAnsi="Liberation Serif" w:cs="Helvetica"/>
          <w:color w:val="000000"/>
          <w:sz w:val="24"/>
          <w:szCs w:val="24"/>
        </w:rPr>
        <w:lastRenderedPageBreak/>
        <w:t xml:space="preserve">управление в случае конфликта интересов, и подготовку предложений по уточнению связанных понятий – «конфликт интересов», «личная заинтересованность», «лица, находящиеся в близком родстве или свойстве», «иные близкие отношения», расширению перечня «связанных лиц», использованию специальных форм доверительного управления*. Кроме этого, документом предусмотрены: подготовка предложений о возложении на непосредственного руководителя служащего обязанности принимать меры по предотвращению или урегулированию конфликта интересов у служащего, подготовка доклада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конфликте интересов, разработка методических рекомендаций по выявлению и минимизации коррупционных рисков при предоставлении субсидий и иных межбюджетных трансфертов.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Антикоррупционные проверки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 рамках данного направления запланирована подготовка предложений по совершенствованию действующего порядка проведения проверок достоверности и полноты сведений о доходах, расходах, соблюдения запретов и ограничений, исполнения обязанностей, установленных в целях противодействия коррупции, и устранению отдельных правовых пробелов, в том числе в части: порядка проведения проверок в случае, если служащий (работник) меняет место службы (работы), наделения правом направлять запросы в ходе проведения проверок руководителей антикоррупционных органов субъектов РФ, уполномоченных главой субъекта РФ, и лиц, уполномоченных единоличными исполнительными органами госкорпорации, установления обязанности предоставлять информацию по запросам в ходе проверок для ЗАГСов, налоговых органов, лиц, осуществляющих профессиональную деятельность на рынке ценных бумаг, Банка России, бюро кредитных историй возможности получения прокурорами сведений, составляющих банковскую тайну. Одновременно запланирована подготовка методических рекомендаций по вопросам проведения антикоррупционных проверок.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Дисциплинарная ответственность</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 Данный раздел содержит поручения, касающиеся: повышение эффективности использования института увольнения в связи с утратой доверия за счет установления временных ограничений на трудоустройство в организации, учреждаемые или контролируемые Российской Федерацией, субъектом РФ, муниципальным образованием, а также контролируемые госкорпорациями, изучения иных (помимо досрочного прекращения полномочий) возможностей привлечения к ответственности лиц, замещающих государственные (муниципальные) должности, разработки порядка привлечения к ответственности за несоблюдение антикоррупционных стандартов ВРИО глав субъектов РФ, анализа практики отставки глав муниципальных образований за несоблюдение антикоррупционных стандартов, актуализации Обзора практики привлечения к ответственности государственных (муниципальных) служащих за нарушение антикоррупционных стандартов Одновременно в раздел включены поручения, касающиеся проведения мониторинга практики осуществления контроля за расходами и подготовки с учетом результатов такого мониторинга методических рекомендаций по осуществлению контроля за расходами.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Уголовная и административная ответственность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lastRenderedPageBreak/>
        <w:t xml:space="preserve">В рамках данного направления предусмотрено проведение анализа: практики привлечения к ответственности за преступления против интересов службы в организациях, практики принятия мер по предупреждению преступлений со стороны должностных лиц правоохранительных органов, практики возмещения ущерба от коррупционных преступлений, деятельности правоохранительных органов по борьбе с коррупционными преступлениями в целом и выявления, раскрытия и расследования фактов подкупа иностранных должностных лиц в частности. Кроме этого, запланировано представление предложений по принятию мер, направленных на обеспечение полноты фактического взыскания ущерба, выделению процедуры розыска и ареста преступных активов в отдельное производство, устранению диспропорций наказаний за посредничество во взяточничестве (коммерческом подкупе) и обещание (предложение) посредничества, а также на недопущение нецелевого использования межбюджетных ассигнований, выделяемых на противоэпидемические мероприятия, реализацию национальных проектов, в том числе по выявлению и пресечению взяточничества, предоставления неправомерных преимуществ и оказания содействия аффилированным организациям.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Защита информации ограниченного доступа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Указанное направление предполагает, в том числе проведение работы по гармонизации законодательства об информации ограниченного доступа и антикоррупционного законодательства, представление предложений о порядке и сроках хранения справок о доходах, расходах, иных документов, содержащих персональные данные и информацию ограниченного доступа, представления копий справок о доходах, расходах по запросам при проведении доследственной проверки, расследовании уголовного дела и в иных случаях.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«Вращающаяся дверь»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 рамках данного направления запланировано проведение анализа практики установления ограничений на трудоустройство после увольнения со службы в организации, в отношении которых лицо осуществляло отдельные функции государственного (муниципального) управления, подготовка предложения по расширению круга лиц, на которых распространяются соответствующие ограничения, и перечня организаций, в которые им может быть временно запрещено трудоустраиваться, а также разработка порядка проверки соблюдения соответствующих ограничений.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Противодействие коррупции в организациях частного сектора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Для целей борьбы с коррупцией в частном секторе Нацпланом предусмотрены следующие мероприятия: принятие комплекса мер по повышению эффективности взаимодействия бизнеса и государства по вопросам противодействия коррупции, проведение ежегодного исследования отношения к коррупции и ежегодных всероссийских акций, направленных на внедрение процедур внутреннего контроля и антикоррупционной политики в бизнес-секторе, подготовка обзора лучших практик противодействия коррупции в организациях.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Противодействие коррупции в субъектах Российской Федерации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Данное направление предполагает, в том числе: подготовку предложений по совершенствованию правового регулирования деятельности антикоррупционных органов и антикоррупционных комиссий субъектов РФ, в том числе актуализации соответствующих типовых положений, изучение практики и разработку предложений по совершенствованию правового регулирования в части участия государственных служащих субъектов РФ и муниципальных служащих в управлении организациями, </w:t>
      </w:r>
      <w:r w:rsidRPr="00647B26">
        <w:rPr>
          <w:rFonts w:ascii="Liberation Serif" w:hAnsi="Liberation Serif" w:cs="Helvetica"/>
          <w:color w:val="000000"/>
          <w:sz w:val="24"/>
          <w:szCs w:val="24"/>
        </w:rPr>
        <w:lastRenderedPageBreak/>
        <w:t xml:space="preserve">проведение ежегодных семинаров-совещаний по актуальным вопросам применения антикоррупционного законодательства для представителей таких органов, проведение социологических исследований оценки уровня коррупции в субъектах РФ.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Противодействие коррупции в закупочной деятельности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 рамках противодействия коррупции при осуществлении государственных (муниципальных) закупок Нацплан предусматривает: установление для заказчика обязанности включать в контракт антикоррупционную оговорку, а для руководителей и служащих (работников) заказчика, непосредственно участвующих в осуществлении закупок, – ежегодно представлять и актуализировать сведения о «связанных лицах»; разработку предложений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акций (долей, паев) организаций при принятии решений о распоряжении таким имуществом или при приобретении имущества и акций в собственность, подготовку доклада о ходе реализации мер, направленных на предупреждение и пресечение «откатов», выявление и устранение коррупционных проявлений в сфере закупок.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Антикоррупционная экспертиза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Данное направление предполагает: установление обязанности организаций, учредителем которых является Российская Федерация, субъект РФ, муниципальное образование, госкорпорация, проводить антикоррупционную экспертизу проектов локальных актов и организация обучения для лиц, в должностные обязанности которых входит проведение антикоррупционной экспертизы в таких организациях, мониторинг деятельности государственных органов и организаций, органов прокуратуры по проведению антикоррупционной экспертизы нормативных актов и их проектов, реализация на постоянной основе работы по обобщению практики проведения антикоррупционной экспертизы.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Образование и просвещение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Указанное направление содержит ряд поручений о проведении различных обучающих и информационных мероприятий по вопросам противодействия коррупции, в том числе Всероссийского антикоррупционного форума финансово-экономических органов, научно-практической конференции «Противодействие коррупции в образовательных организациях и научных учреждениях», всероссийского семинара для представителей СМИ по вопросам социальной антикоррупционной рекламы, ежегодного семинара-совещания по актуальным вопросам применения антикоррупционного законодательства для федеральных государственных органов и антикоррупционных органов субъектов РФ, международных и всероссийских студенческих мероприятий антикоррупционной направленности, учебно-методических семинаров для педагогических работников, реализующих программы ДПО в области противодействия коррупции, информационно-разъяснительных и образовательных мероприятий для российских участников ВЭД по вопросам минимизации рисков применения зарубежного антикоррупционного законодательства. Кроме того, всем органам и организациям поручено обеспечить проведение антикоррупционного обучения как для действующих служащих (работников) – прежде всего, участвующих в деятельности по противодействию коррупции и в проведении государственных (муниципальных) закупок, – так и для впервые поступающих на службу (работу) и представлять отчеты о проводимом обучении в </w:t>
      </w:r>
      <w:r w:rsidRPr="00647B26">
        <w:rPr>
          <w:rFonts w:ascii="Liberation Serif" w:hAnsi="Liberation Serif" w:cs="Helvetica"/>
          <w:color w:val="000000"/>
          <w:sz w:val="24"/>
          <w:szCs w:val="24"/>
        </w:rPr>
        <w:lastRenderedPageBreak/>
        <w:t xml:space="preserve">Министерство труда и социальной защиты Российской Федерации для подготовки итогового доклада. Также в рамках данного направления запланированы: разработка и утверждение типовых программ ДПО в области противодействия коррупции, открытие программы магистратуры «Антикоррупционная деятельность», включение в федеральные государственные образовательные стандарты положений, направленных на формирование нетерпимого отношения к коррупционному поведению, реализация программы по антикоррупционному просвещению населения, проведение различных исследований по актуальным вопросам противодействия коррупции.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Участие гражданского общества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Данный раздел содержит поручения, касающиеся проведения анализа практики рассмотрения обращений граждан и организаций по фактам коррупции, участия субъектов общественного контроля в антикоррупционной деятельности, предоставления мер поддержки социально ориентированным НКО, осуществляющим деятельность в области противодействия коррупции, в субъектах РФ, а также проведения мероприятий по расширению участия гражданского общества в антикоррупционной деятельности, в том числе за счет привлечения волонтерских организаций и движений, расширения практики включения в состав антикоррупционных комиссий представителей НКО, уставная деятельность которых связана с противодействием коррупции, представителей научного и экспертного сообщества, предоставления мер поддержки социально ориентированным НКО, осуществляющим деятельность в области противодействия коррупции, в субъектах РФ. Дополнительно планируется принятие мер по повышению осведомленности гражданского общества посредством организации просветительских мероприятий для информирования граждан о требованиях антикоррупционного законодательства и создания в обществе атмосферы нетерпимости к коррупции, регулярных публичных лекций по антикоррупционной тематике в субъектах РФ, создания и распространения в сети «Интернет» контента, направленного на популяризацию в обществе антикоррупционных стандартов.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Международное сотрудничество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 данный раздел включены поручения, связанные с обеспечением участия Российской Федерации в различных международных антикоррупционных мероприятиях (проводимых АТЭС, G20, БРИКС, IACA и т.п.) и выполнением взятых на себя обязательств в соответствии с международными соглашениями (принятых ГРЕКО, ООН, ОЭСР, ФАТФ и т.п.).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Систематизация антикоррупционного законодательства </w:t>
      </w:r>
    </w:p>
    <w:p w:rsidR="00647B26"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В рамках данного направления запланировано проведение на постоянной основе работы по систематизации и актуализации антикоррупционного законодательства, устранению пробелов и противоречий, неэффективных и устаревших норм. </w:t>
      </w:r>
    </w:p>
    <w:p w:rsidR="00647B26" w:rsidRPr="00647B26" w:rsidRDefault="00AA63AC" w:rsidP="00647B26">
      <w:pPr>
        <w:pStyle w:val="a4"/>
        <w:numPr>
          <w:ilvl w:val="0"/>
          <w:numId w:val="1"/>
        </w:numPr>
        <w:spacing w:after="0"/>
        <w:ind w:left="0"/>
        <w:jc w:val="both"/>
        <w:rPr>
          <w:rFonts w:ascii="Liberation Serif" w:hAnsi="Liberation Serif" w:cs="Helvetica"/>
          <w:b/>
          <w:color w:val="000000"/>
          <w:sz w:val="24"/>
          <w:szCs w:val="24"/>
        </w:rPr>
      </w:pPr>
      <w:r w:rsidRPr="00647B26">
        <w:rPr>
          <w:rFonts w:ascii="Liberation Serif" w:hAnsi="Liberation Serif" w:cs="Helvetica"/>
          <w:b/>
          <w:color w:val="000000"/>
          <w:sz w:val="24"/>
          <w:szCs w:val="24"/>
        </w:rPr>
        <w:t xml:space="preserve">ЦФА и информационные технологии </w:t>
      </w:r>
    </w:p>
    <w:p w:rsidR="00903D8A" w:rsidRPr="00647B26" w:rsidRDefault="00AA63AC" w:rsidP="00647B26">
      <w:pPr>
        <w:spacing w:after="0"/>
        <w:jc w:val="both"/>
        <w:rPr>
          <w:rFonts w:ascii="Liberation Serif" w:hAnsi="Liberation Serif" w:cs="Helvetica"/>
          <w:color w:val="000000"/>
          <w:sz w:val="24"/>
          <w:szCs w:val="24"/>
        </w:rPr>
      </w:pPr>
      <w:r w:rsidRPr="00647B26">
        <w:rPr>
          <w:rFonts w:ascii="Liberation Serif" w:hAnsi="Liberation Serif" w:cs="Helvetica"/>
          <w:color w:val="000000"/>
          <w:sz w:val="24"/>
          <w:szCs w:val="24"/>
        </w:rPr>
        <w:t xml:space="preserve">Последнее предусмотренное Нацпланом направление предполагает: изучение новых форм коррупции, связанных с использованием цифровых технологий, подготовку предложений по выявлению и пресечению преступлений, совещенных использованием цифровых финансовых активов, иных цифровых прав и цифровой валюты (далее – ЦФА), подготовку предложений по использованию информационных технологий для представления, обработки, анализа и хранения сведений о доходах, расходах, анализ практики представления сведений о владении ЦФА, проверки таких сведений и </w:t>
      </w:r>
      <w:r w:rsidRPr="00647B26">
        <w:rPr>
          <w:rFonts w:ascii="Liberation Serif" w:hAnsi="Liberation Serif" w:cs="Helvetica"/>
          <w:color w:val="000000"/>
          <w:sz w:val="24"/>
          <w:szCs w:val="24"/>
        </w:rPr>
        <w:lastRenderedPageBreak/>
        <w:t>осуществления контроля за расходами на приобретение ЦФА, принятие мер по повышению информированности граждан о возможности участия в общественном контроле с использованием государственных интернет-ресурсов и анализ возможностей развития таких интернет-ресурсов, изучение практики применения цифровых технологий для предоставления государственных (муниципальных) услуг, осуществлении контрольных и надзорных функций, проведения закупок и подготовка обзора типовых способов совершения коррупционных нарушений, связанных с осуществлением указанных видов деятельности.</w:t>
      </w:r>
      <w:r w:rsidRPr="00647B26">
        <w:rPr>
          <w:rFonts w:ascii="Liberation Serif" w:hAnsi="Liberation Serif" w:cs="Helvetica"/>
          <w:color w:val="000000"/>
          <w:sz w:val="24"/>
          <w:szCs w:val="24"/>
        </w:rPr>
        <w:br/>
      </w:r>
      <w:r w:rsidRPr="00647B26">
        <w:rPr>
          <w:rFonts w:ascii="Liberation Serif" w:hAnsi="Liberation Serif" w:cs="Helvetica"/>
          <w:color w:val="000000"/>
          <w:sz w:val="24"/>
          <w:szCs w:val="24"/>
        </w:rPr>
        <w:br/>
        <w:t>Источник: </w:t>
      </w:r>
      <w:hyperlink r:id="rId7" w:history="1">
        <w:r w:rsidRPr="00647B26">
          <w:rPr>
            <w:rStyle w:val="a3"/>
            <w:rFonts w:ascii="Liberation Serif" w:hAnsi="Liberation Serif" w:cs="Helvetica"/>
            <w:sz w:val="24"/>
            <w:szCs w:val="24"/>
          </w:rPr>
          <w:t>https://anticor.hse.ru/main/news_page/v_rossii_prinyat_natsionalnyy_plan_protivodeystviya_korruptsii_na_20212024_gody</w:t>
        </w:r>
      </w:hyperlink>
      <w:r w:rsidRPr="00647B26">
        <w:rPr>
          <w:rFonts w:ascii="Liberation Serif" w:hAnsi="Liberation Serif" w:cs="Helvetica"/>
          <w:color w:val="000000"/>
          <w:sz w:val="24"/>
          <w:szCs w:val="24"/>
        </w:rPr>
        <w:br/>
        <w:t>© Антикоррупционный центр НИУ ВШЭ</w:t>
      </w:r>
    </w:p>
    <w:sectPr w:rsidR="00903D8A" w:rsidRPr="00647B26" w:rsidSect="007576B4">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C58" w:rsidRDefault="008E3C58" w:rsidP="00647B26">
      <w:pPr>
        <w:spacing w:after="0" w:line="240" w:lineRule="auto"/>
      </w:pPr>
      <w:r>
        <w:separator/>
      </w:r>
    </w:p>
  </w:endnote>
  <w:endnote w:type="continuationSeparator" w:id="1">
    <w:p w:rsidR="008E3C58" w:rsidRDefault="008E3C58" w:rsidP="00647B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A00002AF" w:usb1="5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B26" w:rsidRDefault="00647B2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80774"/>
      <w:docPartObj>
        <w:docPartGallery w:val="Page Numbers (Bottom of Page)"/>
        <w:docPartUnique/>
      </w:docPartObj>
    </w:sdtPr>
    <w:sdtContent>
      <w:p w:rsidR="00647B26" w:rsidRDefault="00647B26">
        <w:pPr>
          <w:pStyle w:val="a7"/>
          <w:jc w:val="right"/>
        </w:pPr>
        <w:fldSimple w:instr=" PAGE   \* MERGEFORMAT ">
          <w:r>
            <w:rPr>
              <w:noProof/>
            </w:rPr>
            <w:t>1</w:t>
          </w:r>
        </w:fldSimple>
      </w:p>
    </w:sdtContent>
  </w:sdt>
  <w:p w:rsidR="00647B26" w:rsidRDefault="00647B2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B26" w:rsidRDefault="00647B2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C58" w:rsidRDefault="008E3C58" w:rsidP="00647B26">
      <w:pPr>
        <w:spacing w:after="0" w:line="240" w:lineRule="auto"/>
      </w:pPr>
      <w:r>
        <w:separator/>
      </w:r>
    </w:p>
  </w:footnote>
  <w:footnote w:type="continuationSeparator" w:id="1">
    <w:p w:rsidR="008E3C58" w:rsidRDefault="008E3C58" w:rsidP="00647B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B26" w:rsidRDefault="00647B26">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B26" w:rsidRDefault="00647B26">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B26" w:rsidRDefault="00647B2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2D0BD4"/>
    <w:multiLevelType w:val="hybridMultilevel"/>
    <w:tmpl w:val="521A2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A63AC"/>
    <w:rsid w:val="00647B26"/>
    <w:rsid w:val="007576B4"/>
    <w:rsid w:val="008E3C58"/>
    <w:rsid w:val="00903D8A"/>
    <w:rsid w:val="00AA63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6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A63AC"/>
    <w:rPr>
      <w:color w:val="0000FF"/>
      <w:u w:val="single"/>
    </w:rPr>
  </w:style>
  <w:style w:type="paragraph" w:styleId="a4">
    <w:name w:val="List Paragraph"/>
    <w:basedOn w:val="a"/>
    <w:uiPriority w:val="34"/>
    <w:qFormat/>
    <w:rsid w:val="00AA63AC"/>
    <w:pPr>
      <w:ind w:left="720"/>
      <w:contextualSpacing/>
    </w:pPr>
  </w:style>
  <w:style w:type="paragraph" w:styleId="a5">
    <w:name w:val="header"/>
    <w:basedOn w:val="a"/>
    <w:link w:val="a6"/>
    <w:uiPriority w:val="99"/>
    <w:semiHidden/>
    <w:unhideWhenUsed/>
    <w:rsid w:val="00647B2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47B26"/>
  </w:style>
  <w:style w:type="paragraph" w:styleId="a7">
    <w:name w:val="footer"/>
    <w:basedOn w:val="a"/>
    <w:link w:val="a8"/>
    <w:uiPriority w:val="99"/>
    <w:unhideWhenUsed/>
    <w:rsid w:val="00647B2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47B2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nticor.hse.ru/main/news_page/v_rossii_prinyat_natsionalnyy_plan_protivodeystviya_korruptsii_na_20212024_gody"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2541</Words>
  <Characters>14489</Characters>
  <Application>Microsoft Office Word</Application>
  <DocSecurity>0</DocSecurity>
  <Lines>120</Lines>
  <Paragraphs>33</Paragraphs>
  <ScaleCrop>false</ScaleCrop>
  <Company>SPecialiST RePack</Company>
  <LinksUpToDate>false</LinksUpToDate>
  <CharactersWithSpaces>16997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2022-06-12T05:46:00Z</dcterms:created>
  <dcterms:modified xsi:type="dcterms:W3CDTF">2022-06-12T06:02:00Z</dcterms:modified>
</cp:coreProperties>
</file>